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2DD5000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BC0326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6CAB336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3B3A35">
              <w:rPr>
                <w:b/>
                <w:bCs/>
              </w:rPr>
              <w:t>farmakologia z toksykologią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1A9E96AE" w14:textId="77777777" w:rsidR="003557EB" w:rsidRDefault="003557EB" w:rsidP="003557EB">
            <w:pPr>
              <w:spacing w:after="0" w:line="240" w:lineRule="auto"/>
            </w:pPr>
            <w:r>
              <w:t>Podstawowe grupy leków, mechanizmy działania leków, wskazania, przeciwskazania, formy recepturowe, dawkowanie, objawy niepożądane, podstawy farmakokinetyki; specyfika farmakoterapii w ciąży i w okresie karmienia; podstawowe pojęcia z zakresu toksykologii ogólnej; objawy, diagnostyka i leczenie najczęściej występujących ostrych zatruć; interpretacja wyników badań toksykologicznych; działania niepożądane leków; interakcje; lekooporność; optymalizacja dawek leków; receptura w praktyce; leki pochodzenia naturalnego; szczepionki; witaminy; biopierwiastki; krytyczna analiza piśmiennictwa; znaczenie i zasady  pracy w zespole.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4D54954" w14:textId="77777777" w:rsidR="003557EB" w:rsidRDefault="00A7538D" w:rsidP="003557EB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57EB">
              <w:rPr>
                <w:rFonts w:cstheme="minorHAnsi"/>
              </w:rPr>
              <w:t xml:space="preserve">C.W28, C.W29, C.W30, C.W31, C.W32, C.W34, </w:t>
            </w:r>
            <w:r w:rsidR="003557EB">
              <w:rPr>
                <w:rFonts w:ascii="Calibri" w:eastAsia="Times New Roman" w:hAnsi="Calibri" w:cs="Calibri"/>
              </w:rPr>
              <w:t>C.</w:t>
            </w:r>
            <w:r w:rsidR="003557EB">
              <w:rPr>
                <w:rFonts w:cstheme="minorHAnsi"/>
              </w:rPr>
              <w:t xml:space="preserve">W35, </w:t>
            </w:r>
            <w:r w:rsidR="003557EB">
              <w:rPr>
                <w:rFonts w:ascii="Calibri" w:eastAsia="Times New Roman" w:hAnsi="Calibri" w:cs="Calibri"/>
              </w:rPr>
              <w:t>C.</w:t>
            </w:r>
            <w:r w:rsidR="003557EB">
              <w:rPr>
                <w:rFonts w:cstheme="minorHAnsi"/>
              </w:rPr>
              <w:t>W36,</w:t>
            </w:r>
            <w:r w:rsidR="003557EB">
              <w:rPr>
                <w:rFonts w:ascii="Calibri" w:eastAsia="Times New Roman" w:hAnsi="Calibri" w:cs="Calibri"/>
              </w:rPr>
              <w:t xml:space="preserve"> C.</w:t>
            </w:r>
            <w:r w:rsidR="003557EB">
              <w:rPr>
                <w:rFonts w:cstheme="minorHAnsi"/>
              </w:rPr>
              <w:t>W37,</w:t>
            </w:r>
            <w:r w:rsidR="003557EB">
              <w:rPr>
                <w:rFonts w:ascii="Calibri" w:eastAsia="Times New Roman" w:hAnsi="Calibri" w:cs="Calibri"/>
              </w:rPr>
              <w:t xml:space="preserve"> C.</w:t>
            </w:r>
            <w:r w:rsidR="003557EB">
              <w:rPr>
                <w:rFonts w:cstheme="minorHAnsi"/>
              </w:rPr>
              <w:t>W38,</w:t>
            </w:r>
            <w:r w:rsidR="003557EB">
              <w:rPr>
                <w:rFonts w:ascii="Calibri" w:eastAsia="Times New Roman" w:hAnsi="Calibri" w:cs="Calibri"/>
              </w:rPr>
              <w:t xml:space="preserve"> C.</w:t>
            </w:r>
            <w:r w:rsidR="003557EB">
              <w:rPr>
                <w:rFonts w:cstheme="minorHAnsi"/>
              </w:rPr>
              <w:t xml:space="preserve">W39, </w:t>
            </w:r>
            <w:r w:rsidR="003557EB">
              <w:rPr>
                <w:rFonts w:ascii="Calibri" w:eastAsia="Times New Roman" w:hAnsi="Calibri" w:cs="Calibri"/>
              </w:rPr>
              <w:t>C.</w:t>
            </w:r>
            <w:r w:rsidR="003557EB">
              <w:rPr>
                <w:rFonts w:cstheme="minorHAnsi"/>
              </w:rPr>
              <w:t>W40,</w:t>
            </w:r>
            <w:r w:rsidR="003557EB">
              <w:rPr>
                <w:rFonts w:ascii="Calibri" w:eastAsia="Times New Roman" w:hAnsi="Calibri" w:cs="Calibri"/>
              </w:rPr>
              <w:t xml:space="preserve"> C.</w:t>
            </w:r>
            <w:r w:rsidR="003557EB">
              <w:rPr>
                <w:rFonts w:cstheme="minorHAnsi"/>
              </w:rPr>
              <w:t xml:space="preserve">W41, </w:t>
            </w:r>
            <w:r w:rsidR="003557EB">
              <w:rPr>
                <w:rFonts w:ascii="Calibri" w:eastAsia="Times New Roman" w:hAnsi="Calibri" w:cs="Calibri"/>
              </w:rPr>
              <w:t>C.</w:t>
            </w:r>
            <w:r w:rsidR="003557EB">
              <w:rPr>
                <w:rFonts w:cstheme="minorHAnsi"/>
              </w:rPr>
              <w:t>W42,</w:t>
            </w:r>
            <w:r w:rsidR="003557EB">
              <w:rPr>
                <w:rFonts w:ascii="Calibri" w:eastAsia="Times New Roman" w:hAnsi="Calibri" w:cs="Calibri"/>
              </w:rPr>
              <w:t xml:space="preserve"> C.</w:t>
            </w:r>
            <w:r w:rsidR="003557EB">
              <w:rPr>
                <w:rFonts w:cstheme="minorHAnsi"/>
              </w:rPr>
              <w:t>W43,B.W26 ,</w:t>
            </w:r>
            <w:r w:rsidR="003557EB">
              <w:rPr>
                <w:rFonts w:ascii="Calibri" w:eastAsia="Times New Roman" w:hAnsi="Calibri" w:cs="Calibri"/>
              </w:rPr>
              <w:t xml:space="preserve"> </w:t>
            </w:r>
            <w:r w:rsidR="003557EB">
              <w:rPr>
                <w:rFonts w:cstheme="minorHAnsi"/>
              </w:rPr>
              <w:t>D.W19</w:t>
            </w:r>
          </w:p>
          <w:p w14:paraId="6C95658F" w14:textId="5AE16E43" w:rsidR="00A7538D" w:rsidRPr="004E3FDE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3557EB">
              <w:rPr>
                <w:rFonts w:cstheme="minorHAnsi"/>
              </w:rPr>
              <w:t>C.U8, C.U9, , C.U10, C.U11, C.U12, C.U13, D.U12, B.U10, B.U11</w:t>
            </w: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3557EB">
              <w:rPr>
                <w:rFonts w:cstheme="minorHAnsi"/>
              </w:rPr>
              <w:t>D.W18, D.U12, D.U13.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19E7DC6" w:rsidR="005E20BB" w:rsidRPr="00442D3F" w:rsidRDefault="003B3A35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7DF9264E" w:rsidR="005E20BB" w:rsidRPr="00C77EA0" w:rsidRDefault="003B3A35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A285AB9" w:rsidR="00BE7F0A" w:rsidRPr="00C77EA0" w:rsidRDefault="005E20BB" w:rsidP="001C0E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C0E9B" w:rsidRPr="001C0E9B">
              <w:rPr>
                <w:bCs/>
              </w:rPr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40F6609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C65C12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EC8E3C8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7BD76FC8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12E83CE0" w14:textId="60F65862" w:rsidR="00E17BE0" w:rsidRDefault="00E17BE0" w:rsidP="0051149A">
      <w:pPr>
        <w:spacing w:after="0" w:line="260" w:lineRule="atLeast"/>
      </w:pPr>
      <w:r w:rsidRPr="00C65C12">
        <w:rPr>
          <w:noProof/>
        </w:rPr>
        <w:lastRenderedPageBreak/>
        <w:drawing>
          <wp:inline distT="0" distB="0" distL="0" distR="0" wp14:anchorId="65A98F86" wp14:editId="2F899C53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7BE0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C0E9B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557EB"/>
    <w:rsid w:val="0039401E"/>
    <w:rsid w:val="003A1D6E"/>
    <w:rsid w:val="003A326F"/>
    <w:rsid w:val="003B3A35"/>
    <w:rsid w:val="003C528D"/>
    <w:rsid w:val="00406BEE"/>
    <w:rsid w:val="00425F1B"/>
    <w:rsid w:val="00464CB8"/>
    <w:rsid w:val="004835DE"/>
    <w:rsid w:val="004E3F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42B0A"/>
    <w:rsid w:val="00807101"/>
    <w:rsid w:val="008352D8"/>
    <w:rsid w:val="0085025F"/>
    <w:rsid w:val="008530B2"/>
    <w:rsid w:val="00871333"/>
    <w:rsid w:val="00872C31"/>
    <w:rsid w:val="008A0EAF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5C12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17BE0"/>
    <w:rsid w:val="00E32D35"/>
    <w:rsid w:val="00E34C26"/>
    <w:rsid w:val="00E34E88"/>
    <w:rsid w:val="00E51EA8"/>
    <w:rsid w:val="00E52CC5"/>
    <w:rsid w:val="00E5667C"/>
    <w:rsid w:val="00E906C8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5</cp:revision>
  <dcterms:created xsi:type="dcterms:W3CDTF">2024-04-16T08:14:00Z</dcterms:created>
  <dcterms:modified xsi:type="dcterms:W3CDTF">2025-04-07T12:18:00Z</dcterms:modified>
</cp:coreProperties>
</file>